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Theme="majorEastAsia" w:hAnsiTheme="majorEastAsia" w:eastAsiaTheme="majorEastAsia" w:cstheme="majorEastAsia"/>
          <w:b/>
          <w:sz w:val="32"/>
          <w:szCs w:val="32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sz w:val="32"/>
          <w:szCs w:val="32"/>
          <w:lang w:val="en-US" w:eastAsia="zh-CN"/>
        </w:rPr>
        <w:t xml:space="preserve">第二部分  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201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年孟州市一般公共预算收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  <w:lang w:eastAsia="zh-CN"/>
        </w:rPr>
        <w:t>支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情况的说明</w:t>
      </w:r>
    </w:p>
    <w:p>
      <w:pPr>
        <w:spacing w:line="600" w:lineRule="exact"/>
        <w:jc w:val="center"/>
        <w:rPr>
          <w:rFonts w:hint="eastAsia" w:ascii="仿宋" w:hAnsi="仿宋" w:eastAsia="仿宋" w:cs="宋体"/>
          <w:b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b/>
          <w:bCs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一、孟州市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>一般公共预算收入情况说明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（一）地方一般公共预算收入安排情况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一般公共预算收入安排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159819</w:t>
      </w:r>
      <w:r>
        <w:rPr>
          <w:rFonts w:hint="eastAsia" w:ascii="仿宋" w:hAnsi="仿宋" w:eastAsia="仿宋"/>
          <w:sz w:val="32"/>
          <w:szCs w:val="32"/>
        </w:rPr>
        <w:t>万元，较上年完成数增长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.5%，增加收入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11150</w:t>
      </w:r>
      <w:r>
        <w:rPr>
          <w:rFonts w:hint="eastAsia" w:ascii="仿宋" w:hAnsi="仿宋" w:eastAsia="仿宋"/>
          <w:sz w:val="32"/>
          <w:szCs w:val="32"/>
        </w:rPr>
        <w:t>万元；其中：税收收入安排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115070</w:t>
      </w:r>
      <w:r>
        <w:rPr>
          <w:rFonts w:hint="eastAsia" w:ascii="仿宋" w:hAnsi="仿宋" w:eastAsia="仿宋"/>
          <w:sz w:val="32"/>
          <w:szCs w:val="32"/>
        </w:rPr>
        <w:t>万元，较上年完成数增长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14.8</w:t>
      </w:r>
      <w:r>
        <w:rPr>
          <w:rFonts w:hint="eastAsia" w:ascii="仿宋" w:hAnsi="仿宋" w:eastAsia="仿宋"/>
          <w:sz w:val="32"/>
          <w:szCs w:val="32"/>
        </w:rPr>
        <w:t>%。</w:t>
      </w:r>
      <w:r>
        <w:rPr>
          <w:rFonts w:hint="eastAsia" w:ascii="仿宋" w:hAnsi="仿宋" w:eastAsia="仿宋"/>
          <w:sz w:val="32"/>
          <w:szCs w:val="32"/>
          <w:lang w:eastAsia="zh-CN"/>
        </w:rPr>
        <w:t>主要税种安排情况：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sz w:val="32"/>
          <w:szCs w:val="32"/>
        </w:rPr>
        <w:t>增值税收入安排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35528</w:t>
      </w:r>
      <w:r>
        <w:rPr>
          <w:rFonts w:hint="eastAsia" w:ascii="仿宋" w:hAnsi="仿宋" w:eastAsia="仿宋"/>
          <w:sz w:val="32"/>
          <w:szCs w:val="32"/>
        </w:rPr>
        <w:t>万元，比去年完成数增长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17.2</w:t>
      </w:r>
      <w:r>
        <w:rPr>
          <w:rFonts w:hint="eastAsia" w:ascii="仿宋" w:hAnsi="仿宋" w:eastAsia="仿宋"/>
          <w:sz w:val="32"/>
          <w:szCs w:val="32"/>
        </w:rPr>
        <w:t>%，</w:t>
      </w:r>
      <w:r>
        <w:rPr>
          <w:rFonts w:hint="eastAsia" w:ascii="仿宋" w:hAnsi="仿宋" w:eastAsia="仿宋"/>
          <w:color w:val="auto"/>
          <w:sz w:val="32"/>
          <w:szCs w:val="32"/>
        </w:rPr>
        <w:t>主要原因</w:t>
      </w:r>
      <w:r>
        <w:rPr>
          <w:rFonts w:hint="eastAsia" w:ascii="仿宋_GB2312" w:hAnsi="宋体" w:eastAsia="仿宋_GB2312"/>
          <w:sz w:val="32"/>
          <w:szCs w:val="32"/>
        </w:rPr>
        <w:t>市委政府持续大力招商引资、积极推动产业结构优化、统筹推进城市提质和乡村振兴、倾心改善民生打造宜居孟州，成为2019年增值税增收的主要因素。一是建筑房地产项目，文曲府邸、大唐雅苑、九龙新城、建材城二期、金玉良苑、快活林等项目；二是工业建设项目，如御捷电动汽车、极刻欧洲风情啤酒小镇、石化产业园、南庄皮毛产业园等工业建设项目；三是城市提质工程、黄河大桥及连接线工程、文体中心、街心花园改造、人民广场改造、人民公园工程、孟济路及S237道路道路工程、供热及供水工程等项目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color w:val="auto"/>
          <w:sz w:val="32"/>
          <w:szCs w:val="32"/>
          <w:lang w:val="en-US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宋体"/>
          <w:sz w:val="32"/>
          <w:szCs w:val="32"/>
        </w:rPr>
        <w:t>企业所得税收入安排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7772</w:t>
      </w:r>
      <w:r>
        <w:rPr>
          <w:rFonts w:hint="eastAsia" w:ascii="仿宋" w:hAnsi="仿宋" w:eastAsia="仿宋" w:cs="宋体"/>
          <w:sz w:val="32"/>
          <w:szCs w:val="32"/>
        </w:rPr>
        <w:t>万元，比去年完成数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下降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20.8</w:t>
      </w:r>
      <w:r>
        <w:rPr>
          <w:rFonts w:hint="eastAsia" w:ascii="仿宋" w:hAnsi="仿宋" w:eastAsia="仿宋" w:cs="宋体"/>
          <w:sz w:val="32"/>
          <w:szCs w:val="32"/>
        </w:rPr>
        <w:t>%，主要原因是：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企业享受</w:t>
      </w:r>
      <w:r>
        <w:rPr>
          <w:rFonts w:hint="eastAsia" w:ascii="仿宋_GB2312" w:hAnsi="宋体" w:eastAsia="仿宋_GB2312"/>
          <w:sz w:val="32"/>
          <w:szCs w:val="32"/>
        </w:rPr>
        <w:t>高新技术企业所得税优惠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政策，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根据规定从被认定年度起，企业将按所得税税率15%征收所得税，预计减少收入3600万元。</w:t>
      </w:r>
    </w:p>
    <w:p>
      <w:pPr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3、个人所得税收入安排3180万元，比去年完成数增长27.4%，主要原因是：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企业</w:t>
      </w:r>
      <w:r>
        <w:rPr>
          <w:rFonts w:hint="eastAsia" w:ascii="仿宋_GB2312" w:hAnsi="宋体" w:eastAsia="仿宋_GB2312"/>
          <w:sz w:val="32"/>
          <w:szCs w:val="32"/>
        </w:rPr>
        <w:t>股权转让，预计2019年个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人所得税</w:t>
      </w:r>
      <w:r>
        <w:rPr>
          <w:rFonts w:hint="eastAsia" w:ascii="仿宋_GB2312" w:hAnsi="宋体" w:eastAsia="仿宋_GB2312"/>
          <w:sz w:val="32"/>
          <w:szCs w:val="32"/>
        </w:rPr>
        <w:t>税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收收入</w:t>
      </w:r>
      <w:r>
        <w:rPr>
          <w:rFonts w:hint="eastAsia" w:ascii="仿宋_GB2312" w:hAnsi="宋体" w:eastAsia="仿宋_GB2312"/>
          <w:sz w:val="32"/>
          <w:szCs w:val="32"/>
        </w:rPr>
        <w:t>增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加</w:t>
      </w:r>
      <w:r>
        <w:rPr>
          <w:rFonts w:hint="eastAsia" w:ascii="仿宋_GB2312" w:hAnsi="宋体" w:eastAsia="仿宋_GB2312"/>
          <w:sz w:val="32"/>
          <w:szCs w:val="32"/>
        </w:rPr>
        <w:t>1700万元。</w:t>
      </w:r>
    </w:p>
    <w:p>
      <w:pPr>
        <w:numPr>
          <w:ilvl w:val="0"/>
          <w:numId w:val="0"/>
        </w:numPr>
        <w:spacing w:line="600" w:lineRule="exact"/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   4、</w:t>
      </w:r>
      <w:r>
        <w:rPr>
          <w:rFonts w:hint="eastAsia" w:ascii="仿宋" w:hAnsi="仿宋" w:eastAsia="仿宋" w:cs="宋体"/>
          <w:sz w:val="32"/>
          <w:szCs w:val="32"/>
        </w:rPr>
        <w:t>土地增值税收入安排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2700</w:t>
      </w:r>
      <w:r>
        <w:rPr>
          <w:rFonts w:hint="eastAsia" w:ascii="仿宋" w:hAnsi="仿宋" w:eastAsia="仿宋" w:cs="宋体"/>
          <w:sz w:val="32"/>
          <w:szCs w:val="32"/>
        </w:rPr>
        <w:t>万元，比去年完成数增长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26.6</w:t>
      </w:r>
      <w:r>
        <w:rPr>
          <w:rFonts w:hint="eastAsia" w:ascii="仿宋" w:hAnsi="仿宋" w:eastAsia="仿宋" w:cs="宋体"/>
          <w:sz w:val="32"/>
          <w:szCs w:val="32"/>
        </w:rPr>
        <w:t>%，主要原因是：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进一步加大清收力度，预计</w:t>
      </w:r>
      <w:r>
        <w:rPr>
          <w:rFonts w:hint="eastAsia" w:ascii="仿宋" w:hAnsi="仿宋" w:eastAsia="仿宋" w:cs="宋体"/>
          <w:b w:val="0"/>
          <w:bCs w:val="0"/>
          <w:color w:val="auto"/>
          <w:sz w:val="32"/>
          <w:szCs w:val="32"/>
          <w:lang w:eastAsia="zh-CN"/>
        </w:rPr>
        <w:t>增收</w:t>
      </w:r>
      <w:r>
        <w:rPr>
          <w:rFonts w:hint="eastAsia" w:ascii="仿宋" w:hAnsi="仿宋" w:eastAsia="仿宋" w:cs="宋体"/>
          <w:b w:val="0"/>
          <w:bCs w:val="0"/>
          <w:color w:val="auto"/>
          <w:sz w:val="32"/>
          <w:szCs w:val="32"/>
          <w:lang w:val="en-US" w:eastAsia="zh-CN"/>
        </w:rPr>
        <w:t>600</w:t>
      </w:r>
      <w:r>
        <w:rPr>
          <w:rFonts w:hint="eastAsia" w:ascii="仿宋" w:hAnsi="仿宋" w:eastAsia="仿宋" w:cs="宋体"/>
          <w:b w:val="0"/>
          <w:bCs w:val="0"/>
          <w:color w:val="auto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b w:val="0"/>
          <w:bCs/>
          <w:sz w:val="32"/>
          <w:szCs w:val="32"/>
        </w:rPr>
      </w:pPr>
      <w:r>
        <w:rPr>
          <w:rFonts w:hint="eastAsia" w:ascii="仿宋" w:hAnsi="仿宋" w:eastAsia="仿宋" w:cs="宋体"/>
          <w:b w:val="0"/>
          <w:bCs/>
          <w:sz w:val="32"/>
          <w:szCs w:val="32"/>
        </w:rPr>
        <w:t>（二）上级补助收入项目情况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201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sz w:val="32"/>
          <w:szCs w:val="32"/>
        </w:rPr>
        <w:t>年预算上级补助收入安排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74773</w:t>
      </w:r>
      <w:r>
        <w:rPr>
          <w:rFonts w:hint="eastAsia" w:ascii="仿宋" w:hAnsi="仿宋" w:eastAsia="仿宋" w:cs="宋体"/>
          <w:sz w:val="32"/>
          <w:szCs w:val="32"/>
        </w:rPr>
        <w:t>万元，其中：返还性收入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7747</w:t>
      </w:r>
      <w:r>
        <w:rPr>
          <w:rFonts w:hint="eastAsia" w:ascii="仿宋" w:hAnsi="仿宋" w:eastAsia="仿宋" w:cs="宋体"/>
          <w:sz w:val="32"/>
          <w:szCs w:val="32"/>
        </w:rPr>
        <w:t>万元、一般性转移支付收入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57273</w:t>
      </w:r>
      <w:r>
        <w:rPr>
          <w:rFonts w:hint="eastAsia" w:ascii="仿宋" w:hAnsi="仿宋" w:eastAsia="仿宋" w:cs="宋体"/>
          <w:sz w:val="32"/>
          <w:szCs w:val="32"/>
        </w:rPr>
        <w:t>万元、专项转移支付收入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9753</w:t>
      </w:r>
      <w:r>
        <w:rPr>
          <w:rFonts w:hint="eastAsia" w:ascii="仿宋" w:hAnsi="仿宋" w:eastAsia="仿宋" w:cs="宋体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1.返还性收入7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747</w:t>
      </w:r>
      <w:r>
        <w:rPr>
          <w:rFonts w:hint="eastAsia" w:ascii="仿宋" w:hAnsi="仿宋" w:eastAsia="仿宋" w:cs="宋体"/>
          <w:sz w:val="32"/>
          <w:szCs w:val="32"/>
        </w:rPr>
        <w:t>万元，其中：所得税基数返还收入1921万元、增值税收入返还4129万元、消费税返还228万元、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增值税五五分享税收返还收入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368万元、</w:t>
      </w:r>
      <w:r>
        <w:rPr>
          <w:rFonts w:hint="eastAsia" w:ascii="仿宋" w:hAnsi="仿宋" w:eastAsia="仿宋" w:cs="宋体"/>
          <w:sz w:val="32"/>
          <w:szCs w:val="32"/>
        </w:rPr>
        <w:t>成品油税费改革税收返还收入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1101</w:t>
      </w:r>
      <w:r>
        <w:rPr>
          <w:rFonts w:hint="eastAsia" w:ascii="仿宋" w:hAnsi="仿宋" w:eastAsia="仿宋" w:cs="宋体"/>
          <w:sz w:val="32"/>
          <w:szCs w:val="32"/>
        </w:rPr>
        <w:t>万元。</w:t>
      </w:r>
    </w:p>
    <w:p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</w:rPr>
        <w:t>2.一般性转移支付收入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57273</w:t>
      </w:r>
      <w:r>
        <w:rPr>
          <w:rFonts w:hint="eastAsia" w:ascii="仿宋" w:hAnsi="仿宋" w:eastAsia="仿宋" w:cs="宋体"/>
          <w:sz w:val="32"/>
          <w:szCs w:val="32"/>
        </w:rPr>
        <w:t>万元，其中：均衡性转移支付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14680</w:t>
      </w:r>
      <w:r>
        <w:rPr>
          <w:rFonts w:hint="eastAsia" w:ascii="仿宋" w:hAnsi="仿宋" w:eastAsia="仿宋" w:cs="宋体"/>
          <w:sz w:val="32"/>
          <w:szCs w:val="32"/>
        </w:rPr>
        <w:t>万元、结算补助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2257</w:t>
      </w:r>
      <w:r>
        <w:rPr>
          <w:rFonts w:hint="eastAsia" w:ascii="仿宋" w:hAnsi="仿宋" w:eastAsia="仿宋" w:cs="宋体"/>
          <w:sz w:val="32"/>
          <w:szCs w:val="32"/>
        </w:rPr>
        <w:t>万元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sz w:val="32"/>
          <w:szCs w:val="32"/>
        </w:rPr>
        <w:t>基本养老金转移支付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7515</w:t>
      </w:r>
      <w:r>
        <w:rPr>
          <w:rFonts w:hint="eastAsia" w:ascii="仿宋" w:hAnsi="仿宋" w:eastAsia="仿宋" w:cs="宋体"/>
          <w:sz w:val="32"/>
          <w:szCs w:val="32"/>
        </w:rPr>
        <w:t>万元、城乡居民医疗保险转移支付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10971</w:t>
      </w:r>
      <w:r>
        <w:rPr>
          <w:rFonts w:hint="eastAsia" w:ascii="仿宋" w:hAnsi="仿宋" w:eastAsia="仿宋" w:cs="宋体"/>
          <w:sz w:val="32"/>
          <w:szCs w:val="32"/>
        </w:rPr>
        <w:t>万元、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产粮大县奖励资金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2175万元、固定数额补助9060万元、贫困地区转移支付246万元、</w:t>
      </w:r>
      <w:r>
        <w:rPr>
          <w:rFonts w:hint="eastAsia" w:ascii="仿宋" w:hAnsi="仿宋" w:eastAsia="仿宋"/>
          <w:sz w:val="30"/>
          <w:szCs w:val="30"/>
          <w:lang w:eastAsia="zh-CN"/>
        </w:rPr>
        <w:t>公共安全共同财政事权转移支付收入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1164万元、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教育共同财政事权转移支付收入2942万元、社会保障和就业共同财政事权转移支付收入1910万元、卫生健康共同财政事权转移支付收入4293万元、住房保障共同财政事权转移支付收入61万元。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3．专项转移支付收入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9753</w:t>
      </w:r>
      <w:r>
        <w:rPr>
          <w:rFonts w:hint="eastAsia" w:ascii="仿宋" w:hAnsi="仿宋" w:eastAsia="仿宋" w:cs="宋体"/>
          <w:sz w:val="32"/>
          <w:szCs w:val="32"/>
        </w:rPr>
        <w:t>万元，其中：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一般公共服务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22万元、国防20万元、</w:t>
      </w:r>
      <w:r>
        <w:rPr>
          <w:rFonts w:hint="eastAsia" w:ascii="仿宋" w:hAnsi="仿宋" w:eastAsia="仿宋" w:cs="宋体"/>
          <w:sz w:val="32"/>
          <w:szCs w:val="32"/>
        </w:rPr>
        <w:t>教育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933</w:t>
      </w:r>
      <w:r>
        <w:rPr>
          <w:rFonts w:hint="eastAsia" w:ascii="仿宋" w:hAnsi="仿宋" w:eastAsia="仿宋" w:cs="宋体"/>
          <w:sz w:val="32"/>
          <w:szCs w:val="32"/>
        </w:rPr>
        <w:t>万元、文化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旅游</w:t>
      </w:r>
      <w:r>
        <w:rPr>
          <w:rFonts w:hint="eastAsia" w:ascii="仿宋" w:hAnsi="仿宋" w:eastAsia="仿宋" w:cs="宋体"/>
          <w:sz w:val="32"/>
          <w:szCs w:val="32"/>
        </w:rPr>
        <w:t>体育与传媒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161</w:t>
      </w:r>
      <w:r>
        <w:rPr>
          <w:rFonts w:hint="eastAsia" w:ascii="仿宋" w:hAnsi="仿宋" w:eastAsia="仿宋" w:cs="宋体"/>
          <w:sz w:val="32"/>
          <w:szCs w:val="32"/>
        </w:rPr>
        <w:t>万元、社会保障与就业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647</w:t>
      </w:r>
      <w:r>
        <w:rPr>
          <w:rFonts w:hint="eastAsia" w:ascii="仿宋" w:hAnsi="仿宋" w:eastAsia="仿宋" w:cs="宋体"/>
          <w:sz w:val="32"/>
          <w:szCs w:val="32"/>
        </w:rPr>
        <w:t>万元、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卫生健康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84</w:t>
      </w:r>
      <w:r>
        <w:rPr>
          <w:rFonts w:hint="eastAsia" w:ascii="仿宋" w:hAnsi="仿宋" w:eastAsia="仿宋" w:cs="宋体"/>
          <w:sz w:val="32"/>
          <w:szCs w:val="32"/>
        </w:rPr>
        <w:t>万元、农林水事务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7529</w:t>
      </w:r>
      <w:r>
        <w:rPr>
          <w:rFonts w:hint="eastAsia" w:ascii="仿宋" w:hAnsi="仿宋" w:eastAsia="仿宋" w:cs="宋体"/>
          <w:sz w:val="32"/>
          <w:szCs w:val="32"/>
        </w:rPr>
        <w:t>万元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、商业服务业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357万元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（三）其他收入情况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动用</w:t>
      </w:r>
      <w:r>
        <w:rPr>
          <w:rFonts w:hint="eastAsia" w:ascii="仿宋" w:hAnsi="仿宋" w:eastAsia="仿宋" w:cs="宋体"/>
          <w:sz w:val="32"/>
          <w:szCs w:val="32"/>
        </w:rPr>
        <w:t>预算稳定调节基金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2983</w:t>
      </w:r>
      <w:r>
        <w:rPr>
          <w:rFonts w:hint="eastAsia" w:ascii="仿宋" w:hAnsi="仿宋" w:eastAsia="仿宋" w:cs="宋体"/>
          <w:sz w:val="32"/>
          <w:szCs w:val="32"/>
        </w:rPr>
        <w:t>万元，上年结转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2203</w:t>
      </w:r>
      <w:r>
        <w:rPr>
          <w:rFonts w:hint="eastAsia" w:ascii="仿宋" w:hAnsi="仿宋" w:eastAsia="仿宋" w:cs="宋体"/>
          <w:sz w:val="32"/>
          <w:szCs w:val="32"/>
        </w:rPr>
        <w:t>万元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，地方政府一般债务转贷收入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3400万元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201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sz w:val="32"/>
          <w:szCs w:val="32"/>
        </w:rPr>
        <w:t>年，地方级一般公共预算收入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159819</w:t>
      </w:r>
      <w:r>
        <w:rPr>
          <w:rFonts w:hint="eastAsia" w:ascii="仿宋" w:hAnsi="仿宋" w:eastAsia="仿宋" w:cs="宋体"/>
          <w:sz w:val="32"/>
          <w:szCs w:val="32"/>
        </w:rPr>
        <w:t>万元，加上上级补助、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动用</w:t>
      </w:r>
      <w:r>
        <w:rPr>
          <w:rFonts w:hint="eastAsia" w:ascii="仿宋" w:hAnsi="仿宋" w:eastAsia="仿宋" w:cs="宋体"/>
          <w:sz w:val="32"/>
          <w:szCs w:val="32"/>
        </w:rPr>
        <w:t>预算稳定平衡基金、上年结转等综合测算，一般公共预算收入总额为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243178</w:t>
      </w:r>
      <w:r>
        <w:rPr>
          <w:rFonts w:hint="eastAsia" w:ascii="仿宋" w:hAnsi="仿宋" w:eastAsia="仿宋" w:cs="宋体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</w:rPr>
        <w:t>二、201</w:t>
      </w:r>
      <w:r>
        <w:rPr>
          <w:rFonts w:hint="eastAsia" w:ascii="仿宋" w:hAnsi="仿宋" w:eastAsia="仿宋" w:cs="宋体"/>
          <w:b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b/>
          <w:sz w:val="32"/>
          <w:szCs w:val="32"/>
        </w:rPr>
        <w:t>年孟州市一般公共预算支出情况的说明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201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kern w:val="2"/>
          <w:sz w:val="32"/>
          <w:szCs w:val="32"/>
        </w:rPr>
        <w:t>年一般公共预算支出总计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243178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万元，其中：地方级支出安排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223221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85.1</w:t>
      </w:r>
      <w:r>
        <w:rPr>
          <w:rFonts w:hint="eastAsia" w:ascii="仿宋" w:hAnsi="仿宋" w:eastAsia="仿宋" w:cs="宋体"/>
          <w:kern w:val="2"/>
          <w:sz w:val="32"/>
          <w:szCs w:val="32"/>
        </w:rPr>
        <w:t>%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，主要原因：一是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2019年预算提前告知上级补助74773万元，比2018年决算（执行）数中上级补助107474万元减少32701万元；二是2019年预算安排新增一般债券支出3400万元，比2018年新增一般债券支出28733万元减少25333万元；</w:t>
      </w:r>
      <w:r>
        <w:rPr>
          <w:rFonts w:hint="eastAsia" w:ascii="仿宋" w:hAnsi="仿宋" w:eastAsia="仿宋" w:cs="宋体"/>
          <w:kern w:val="2"/>
          <w:sz w:val="32"/>
          <w:szCs w:val="32"/>
        </w:rPr>
        <w:t>上解支出安排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19957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万元。主要支出功能科目是：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1、一般公共服务支出安排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54312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107.4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2、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国防支出安排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125万元。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宋体"/>
          <w:kern w:val="2"/>
          <w:sz w:val="32"/>
          <w:szCs w:val="32"/>
        </w:rPr>
        <w:t>公共安全支出安排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11732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93.4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kern w:val="2"/>
          <w:sz w:val="32"/>
          <w:szCs w:val="32"/>
        </w:rPr>
        <w:t>、教育支出安排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34156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87.8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kern w:val="2"/>
          <w:sz w:val="32"/>
          <w:szCs w:val="32"/>
        </w:rPr>
        <w:t>、科学技术支出安排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4889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81.4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kern w:val="2"/>
          <w:sz w:val="32"/>
          <w:szCs w:val="32"/>
        </w:rPr>
        <w:t>、文化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旅游</w:t>
      </w:r>
      <w:r>
        <w:rPr>
          <w:rFonts w:hint="eastAsia" w:ascii="仿宋" w:hAnsi="仿宋" w:eastAsia="仿宋" w:cs="宋体"/>
          <w:kern w:val="2"/>
          <w:sz w:val="32"/>
          <w:szCs w:val="32"/>
        </w:rPr>
        <w:t>体育与传媒支出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1466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72.1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宋体"/>
          <w:kern w:val="2"/>
          <w:sz w:val="32"/>
          <w:szCs w:val="32"/>
        </w:rPr>
        <w:t>、社会保障和就业支出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30006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91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宋体"/>
          <w:kern w:val="2"/>
          <w:sz w:val="32"/>
          <w:szCs w:val="32"/>
        </w:rPr>
        <w:t>、卫生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健康</w:t>
      </w:r>
      <w:r>
        <w:rPr>
          <w:rFonts w:hint="eastAsia" w:ascii="仿宋" w:hAnsi="仿宋" w:eastAsia="仿宋" w:cs="宋体"/>
          <w:kern w:val="2"/>
          <w:sz w:val="32"/>
          <w:szCs w:val="32"/>
        </w:rPr>
        <w:t>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26917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75.1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kern w:val="2"/>
          <w:sz w:val="32"/>
          <w:szCs w:val="32"/>
        </w:rPr>
        <w:t>、节能环保支出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3920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40.4</w:t>
      </w:r>
      <w:r>
        <w:rPr>
          <w:rFonts w:hint="eastAsia" w:ascii="仿宋" w:hAnsi="仿宋" w:eastAsia="仿宋" w:cs="宋体"/>
          <w:kern w:val="2"/>
          <w:sz w:val="32"/>
          <w:szCs w:val="32"/>
        </w:rPr>
        <w:t>%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，主要原因是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2018年上级转移支付安排支出6178万元，2019年预算安排时上级转移支付暂未下达</w:t>
      </w:r>
      <w:r>
        <w:rPr>
          <w:rFonts w:hint="eastAsia" w:ascii="仿宋" w:hAnsi="仿宋" w:eastAsia="仿宋" w:cs="宋体"/>
          <w:kern w:val="2"/>
          <w:sz w:val="32"/>
          <w:szCs w:val="32"/>
        </w:rPr>
        <w:t>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宋体"/>
          <w:kern w:val="2"/>
          <w:sz w:val="32"/>
          <w:szCs w:val="32"/>
        </w:rPr>
        <w:t>、城乡社区事务支出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7125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54.2</w:t>
      </w:r>
      <w:r>
        <w:rPr>
          <w:rFonts w:hint="eastAsia" w:ascii="仿宋" w:hAnsi="仿宋" w:eastAsia="仿宋" w:cs="宋体"/>
          <w:kern w:val="2"/>
          <w:sz w:val="32"/>
          <w:szCs w:val="32"/>
        </w:rPr>
        <w:t>%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，主要原因是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2018年新增一般债券安排支出6748万元，2019年新增一般债券暂未下达</w:t>
      </w:r>
      <w:r>
        <w:rPr>
          <w:rFonts w:hint="eastAsia" w:ascii="仿宋" w:hAnsi="仿宋" w:eastAsia="仿宋" w:cs="宋体"/>
          <w:kern w:val="2"/>
          <w:sz w:val="32"/>
          <w:szCs w:val="32"/>
        </w:rPr>
        <w:t>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kern w:val="2"/>
          <w:sz w:val="32"/>
          <w:szCs w:val="32"/>
        </w:rPr>
        <w:t>、农林水支出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25796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76.3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宋体"/>
          <w:kern w:val="2"/>
          <w:sz w:val="32"/>
          <w:szCs w:val="32"/>
        </w:rPr>
        <w:t>、交通运输支出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4130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30.8</w:t>
      </w:r>
      <w:r>
        <w:rPr>
          <w:rFonts w:hint="eastAsia" w:ascii="仿宋" w:hAnsi="仿宋" w:eastAsia="仿宋" w:cs="宋体"/>
          <w:kern w:val="2"/>
          <w:sz w:val="32"/>
          <w:szCs w:val="32"/>
        </w:rPr>
        <w:t>%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，主要原因是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2018年新增一般债券安排支出8443万元，2019年新增一般债券暂未下达</w:t>
      </w:r>
      <w:r>
        <w:rPr>
          <w:rFonts w:hint="eastAsia" w:ascii="仿宋" w:hAnsi="仿宋" w:eastAsia="仿宋" w:cs="宋体"/>
          <w:kern w:val="2"/>
          <w:sz w:val="32"/>
          <w:szCs w:val="32"/>
        </w:rPr>
        <w:t>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kern w:val="2"/>
          <w:sz w:val="32"/>
          <w:szCs w:val="32"/>
        </w:rPr>
        <w:t>、资源信息勘探事务支出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84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11.2</w:t>
      </w:r>
      <w:r>
        <w:rPr>
          <w:rFonts w:hint="eastAsia" w:ascii="仿宋" w:hAnsi="仿宋" w:eastAsia="仿宋" w:cs="宋体"/>
          <w:kern w:val="2"/>
          <w:sz w:val="32"/>
          <w:szCs w:val="32"/>
        </w:rPr>
        <w:t>%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，主要原因是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2018年上级转移支付安排支出834万元，2019年预算安排时上级转移支付暂未下达</w:t>
      </w:r>
      <w:r>
        <w:rPr>
          <w:rFonts w:hint="eastAsia" w:ascii="仿宋" w:hAnsi="仿宋" w:eastAsia="仿宋" w:cs="宋体"/>
          <w:kern w:val="2"/>
          <w:sz w:val="32"/>
          <w:szCs w:val="32"/>
        </w:rPr>
        <w:t>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 w:cs="宋体"/>
          <w:kern w:val="2"/>
          <w:sz w:val="32"/>
          <w:szCs w:val="32"/>
        </w:rPr>
        <w:t>1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kern w:val="2"/>
          <w:sz w:val="32"/>
          <w:szCs w:val="32"/>
        </w:rPr>
        <w:t>、住房保障支出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3934</w:t>
      </w:r>
      <w:r>
        <w:rPr>
          <w:rFonts w:hint="eastAsia" w:ascii="仿宋" w:hAnsi="仿宋" w:eastAsia="仿宋" w:cs="宋体"/>
          <w:kern w:val="2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kern w:val="2"/>
          <w:sz w:val="32"/>
          <w:szCs w:val="32"/>
        </w:rPr>
        <w:t>的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/>
        </w:rPr>
        <w:t>107.6</w:t>
      </w:r>
      <w:r>
        <w:rPr>
          <w:rFonts w:hint="eastAsia" w:ascii="仿宋" w:hAnsi="仿宋" w:eastAsia="仿宋" w:cs="宋体"/>
          <w:kern w:val="2"/>
          <w:sz w:val="32"/>
          <w:szCs w:val="32"/>
        </w:rPr>
        <w:t>%；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</w:rPr>
        <w:t>1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sz w:val="32"/>
          <w:szCs w:val="32"/>
        </w:rPr>
        <w:t>、债务付息支出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5049</w:t>
      </w:r>
      <w:r>
        <w:rPr>
          <w:rFonts w:hint="eastAsia" w:ascii="仿宋" w:hAnsi="仿宋" w:eastAsia="仿宋" w:cs="宋体"/>
          <w:sz w:val="32"/>
          <w:szCs w:val="32"/>
        </w:rPr>
        <w:t>万元，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占上年决算（执行）数</w:t>
      </w:r>
      <w:r>
        <w:rPr>
          <w:rFonts w:hint="eastAsia" w:ascii="仿宋" w:hAnsi="仿宋" w:eastAsia="仿宋" w:cs="宋体"/>
          <w:sz w:val="32"/>
          <w:szCs w:val="32"/>
        </w:rPr>
        <w:t>的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115.1</w:t>
      </w:r>
      <w:r>
        <w:rPr>
          <w:rFonts w:hint="eastAsia" w:ascii="仿宋" w:hAnsi="仿宋" w:eastAsia="仿宋" w:cs="宋体"/>
          <w:sz w:val="32"/>
          <w:szCs w:val="32"/>
        </w:rPr>
        <w:t>%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。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/>
          <w:bCs/>
          <w:sz w:val="32"/>
          <w:szCs w:val="32"/>
          <w:lang w:eastAsia="zh-CN"/>
        </w:rPr>
        <w:t>三、孟州市“三公”经费预算安排情况</w:t>
      </w:r>
    </w:p>
    <w:p>
      <w:pPr>
        <w:shd w:val="solid" w:color="FFFFFF" w:fill="auto"/>
        <w:autoSpaceDN w:val="0"/>
        <w:spacing w:line="580" w:lineRule="atLeast"/>
        <w:ind w:firstLine="640"/>
        <w:rPr>
          <w:rFonts w:hint="eastAsia" w:ascii="仿宋" w:hAnsi="仿宋" w:eastAsia="仿宋"/>
          <w:sz w:val="32"/>
          <w:szCs w:val="32"/>
          <w:shd w:val="clear" w:color="auto" w:fill="FFFFFF"/>
        </w:rPr>
      </w:pPr>
      <w:r>
        <w:rPr>
          <w:rFonts w:ascii="仿宋" w:hAnsi="仿宋" w:eastAsia="仿宋"/>
          <w:sz w:val="32"/>
          <w:szCs w:val="32"/>
          <w:shd w:val="clear" w:color="auto" w:fill="FFFFFF"/>
        </w:rPr>
        <w:t>根据《河南省人民政府办公厅关于进一步深化全省部门预算改革的通知》（豫政办〔2011〕105号）要求</w:t>
      </w:r>
      <w:r>
        <w:rPr>
          <w:rFonts w:hint="eastAsia" w:ascii="仿宋" w:hAnsi="仿宋" w:eastAsia="仿宋"/>
          <w:sz w:val="32"/>
          <w:szCs w:val="32"/>
          <w:shd w:val="clear" w:color="auto" w:fill="FFFFFF"/>
        </w:rPr>
        <w:t>以及焦治办【2013】1号文的精神，以“厉行节约、降低行政成本”为原则，严格控制我市“三公”经费预决算数，同时予以公开，接收社会各界广泛监督。</w:t>
      </w:r>
    </w:p>
    <w:p>
      <w:pPr>
        <w:shd w:val="solid" w:color="FFFFFF" w:fill="auto"/>
        <w:autoSpaceDN w:val="0"/>
        <w:spacing w:line="330" w:lineRule="atLeast"/>
        <w:rPr>
          <w:rFonts w:ascii="仿宋" w:hAnsi="仿宋" w:eastAsia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ascii="仿宋" w:hAnsi="仿宋" w:eastAsia="仿宋"/>
          <w:sz w:val="32"/>
          <w:szCs w:val="32"/>
          <w:shd w:val="clear" w:color="auto" w:fill="FFFFFF"/>
        </w:rPr>
        <w:t xml:space="preserve">   经汇总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全市</w:t>
      </w:r>
      <w:r>
        <w:rPr>
          <w:rFonts w:ascii="仿宋" w:hAnsi="仿宋" w:eastAsia="仿宋"/>
          <w:sz w:val="32"/>
          <w:szCs w:val="32"/>
          <w:shd w:val="clear" w:color="auto" w:fill="FFFFFF"/>
        </w:rPr>
        <w:t>部门预算，201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ascii="仿宋" w:hAnsi="仿宋" w:eastAsia="仿宋"/>
          <w:sz w:val="32"/>
          <w:szCs w:val="32"/>
          <w:shd w:val="clear" w:color="auto" w:fill="FFFFFF"/>
        </w:rPr>
        <w:t>年一般公共预算安排“三公”经费支出预算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988</w:t>
      </w:r>
      <w:r>
        <w:rPr>
          <w:rFonts w:ascii="仿宋" w:hAnsi="仿宋" w:eastAsia="仿宋"/>
          <w:sz w:val="32"/>
          <w:szCs w:val="32"/>
          <w:shd w:val="clear" w:color="auto" w:fill="FFFFFF"/>
        </w:rPr>
        <w:t>万元，比上年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增长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2.4</w:t>
      </w:r>
      <w:r>
        <w:rPr>
          <w:rFonts w:ascii="仿宋" w:hAnsi="仿宋" w:eastAsia="仿宋"/>
          <w:sz w:val="32"/>
          <w:szCs w:val="32"/>
          <w:shd w:val="clear" w:color="auto" w:fill="FFFFFF"/>
        </w:rPr>
        <w:t>%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，增加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25</w:t>
      </w:r>
      <w:r>
        <w:rPr>
          <w:rFonts w:ascii="仿宋" w:hAnsi="仿宋" w:eastAsia="仿宋"/>
          <w:sz w:val="32"/>
          <w:szCs w:val="32"/>
          <w:shd w:val="clear" w:color="auto" w:fill="FFFFFF"/>
        </w:rPr>
        <w:t>万元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。</w:t>
      </w:r>
      <w:r>
        <w:rPr>
          <w:rFonts w:ascii="仿宋" w:hAnsi="仿宋" w:eastAsia="仿宋"/>
          <w:sz w:val="32"/>
          <w:szCs w:val="32"/>
          <w:shd w:val="clear" w:color="auto" w:fill="FFFFFF"/>
        </w:rPr>
        <w:t>其中：</w:t>
      </w:r>
    </w:p>
    <w:p>
      <w:pPr>
        <w:shd w:val="solid" w:color="FFFFFF" w:fill="auto"/>
        <w:autoSpaceDN w:val="0"/>
        <w:spacing w:line="330" w:lineRule="atLeast"/>
        <w:ind w:firstLine="640"/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因公出国（境）费0万元，与2018年持平。</w:t>
      </w:r>
    </w:p>
    <w:p>
      <w:pPr>
        <w:shd w:val="solid" w:color="FFFFFF" w:fill="auto"/>
        <w:autoSpaceDN w:val="0"/>
        <w:spacing w:line="330" w:lineRule="atLeast"/>
        <w:ind w:firstLine="640"/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公务接待安排422万元，比2018年下降1.2%，减少支出5万元，下降主要原因是严格执行八项规定，压缩公务活动接待。</w:t>
      </w:r>
    </w:p>
    <w:p>
      <w:pPr>
        <w:shd w:val="solid" w:color="FFFFFF" w:fill="auto"/>
        <w:autoSpaceDN w:val="0"/>
        <w:spacing w:line="330" w:lineRule="atLeast"/>
        <w:ind w:firstLine="640"/>
        <w:rPr>
          <w:rFonts w:ascii="仿宋" w:hAnsi="仿宋" w:eastAsia="仿宋"/>
          <w:sz w:val="32"/>
          <w:szCs w:val="32"/>
          <w:shd w:val="clear" w:color="auto" w:fill="FFFFFF"/>
        </w:rPr>
      </w:pPr>
      <w:r>
        <w:rPr>
          <w:rFonts w:ascii="仿宋" w:hAnsi="仿宋" w:eastAsia="仿宋"/>
          <w:sz w:val="32"/>
          <w:szCs w:val="32"/>
          <w:shd w:val="clear" w:color="auto" w:fill="FFFFFF"/>
        </w:rPr>
        <w:t>公务用车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购置及运行费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566万元，比2018年增长5.1%,增加支出30万元。其中：车辆购置119万元，比2018年增加70.4万元,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原因是按照公车购置规定，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2019年更新购置执法执勤车6辆，金额119万元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公务用车</w:t>
      </w:r>
      <w:r>
        <w:rPr>
          <w:rFonts w:ascii="仿宋" w:hAnsi="仿宋" w:eastAsia="仿宋"/>
          <w:sz w:val="32"/>
          <w:szCs w:val="32"/>
          <w:shd w:val="clear" w:color="auto" w:fill="FFFFFF"/>
        </w:rPr>
        <w:t>运行维护费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447</w:t>
      </w:r>
      <w:r>
        <w:rPr>
          <w:rFonts w:ascii="仿宋" w:hAnsi="仿宋" w:eastAsia="仿宋"/>
          <w:sz w:val="32"/>
          <w:szCs w:val="32"/>
          <w:shd w:val="clear" w:color="auto" w:fill="FFFFFF"/>
        </w:rPr>
        <w:t>万元，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eastAsia="zh-CN"/>
        </w:rPr>
        <w:t>比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2018年</w:t>
      </w:r>
      <w:r>
        <w:rPr>
          <w:rFonts w:ascii="仿宋" w:hAnsi="仿宋" w:eastAsia="仿宋"/>
          <w:sz w:val="32"/>
          <w:szCs w:val="32"/>
          <w:shd w:val="clear" w:color="auto" w:fill="FFFFFF"/>
        </w:rPr>
        <w:t>下降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8.8</w:t>
      </w:r>
      <w:r>
        <w:rPr>
          <w:rFonts w:ascii="仿宋" w:hAnsi="仿宋" w:eastAsia="仿宋"/>
          <w:sz w:val="32"/>
          <w:szCs w:val="32"/>
          <w:shd w:val="clear" w:color="auto" w:fill="FFFFFF"/>
        </w:rPr>
        <w:t>%</w:t>
      </w: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>,减少支出40万元，主要原因是严格控制使用公务用车</w:t>
      </w:r>
      <w:r>
        <w:rPr>
          <w:rFonts w:ascii="仿宋" w:hAnsi="仿宋" w:eastAsia="仿宋"/>
          <w:sz w:val="32"/>
          <w:szCs w:val="32"/>
          <w:shd w:val="clear" w:color="auto" w:fill="FFFFFF"/>
        </w:rPr>
        <w:t>。</w:t>
      </w:r>
    </w:p>
    <w:p>
      <w:pPr>
        <w:shd w:val="solid" w:color="FFFFFF" w:fill="auto"/>
        <w:autoSpaceDN w:val="0"/>
        <w:spacing w:line="330" w:lineRule="atLeast"/>
        <w:rPr>
          <w:rFonts w:hint="eastAsia" w:ascii="仿宋" w:hAnsi="仿宋" w:eastAsia="仿宋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仿宋" w:hAnsi="仿宋" w:eastAsia="仿宋"/>
          <w:b/>
          <w:bCs/>
          <w:sz w:val="32"/>
          <w:szCs w:val="32"/>
          <w:shd w:val="clear" w:color="auto" w:fill="FFFFFF"/>
          <w:lang w:val="en-US" w:eastAsia="zh-CN"/>
        </w:rPr>
        <w:t>四、一般债务限额余额情况说明</w:t>
      </w:r>
    </w:p>
    <w:p>
      <w:pPr>
        <w:shd w:val="solid" w:color="FFFFFF" w:fill="auto"/>
        <w:autoSpaceDN w:val="0"/>
        <w:spacing w:line="330" w:lineRule="atLeast"/>
        <w:rPr>
          <w:rFonts w:hint="eastAsia" w:ascii="仿宋" w:hAnsi="仿宋" w:eastAsia="仿宋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仿宋" w:hAnsi="仿宋" w:eastAsia="仿宋"/>
          <w:color w:val="000000"/>
          <w:sz w:val="32"/>
          <w:szCs w:val="32"/>
        </w:rPr>
        <w:t>根据《焦作市财政局关于下达201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32"/>
          <w:szCs w:val="32"/>
        </w:rPr>
        <w:t>年政府债务限额的通知》（焦财预【201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32"/>
          <w:szCs w:val="32"/>
        </w:rPr>
        <w:t>】210号）的有关要求，焦作市级下达我市的201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32"/>
          <w:szCs w:val="32"/>
        </w:rPr>
        <w:t>年一般债务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限额为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19.48</w:t>
      </w:r>
      <w:r>
        <w:rPr>
          <w:rFonts w:hint="eastAsia" w:ascii="仿宋" w:hAnsi="仿宋" w:eastAsia="仿宋"/>
          <w:color w:val="000000"/>
          <w:sz w:val="32"/>
          <w:szCs w:val="32"/>
        </w:rPr>
        <w:t>亿元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color w:val="000000"/>
          <w:sz w:val="32"/>
          <w:szCs w:val="32"/>
        </w:rPr>
        <w:t>截止201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32"/>
          <w:szCs w:val="32"/>
        </w:rPr>
        <w:t>年末，我市地方政府性一般债务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余额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15.91</w:t>
      </w:r>
      <w:r>
        <w:rPr>
          <w:rFonts w:hint="eastAsia" w:ascii="仿宋" w:hAnsi="仿宋" w:eastAsia="仿宋"/>
          <w:color w:val="000000"/>
          <w:sz w:val="32"/>
          <w:szCs w:val="32"/>
        </w:rPr>
        <w:t>亿元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，加上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2019年上级提前下达</w:t>
      </w:r>
      <w:r>
        <w:rPr>
          <w:rFonts w:hint="eastAsia" w:ascii="仿宋" w:hAnsi="仿宋" w:eastAsia="仿宋"/>
          <w:color w:val="000000"/>
          <w:sz w:val="32"/>
          <w:szCs w:val="32"/>
        </w:rPr>
        <w:t>我市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一般债券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0.34亿元（专项用于铁路建设），一般债务余额为16.25亿元。我市</w:t>
      </w:r>
      <w:r>
        <w:rPr>
          <w:rFonts w:hint="eastAsia" w:ascii="仿宋" w:hAnsi="仿宋" w:eastAsia="仿宋"/>
          <w:color w:val="000000"/>
          <w:sz w:val="32"/>
          <w:szCs w:val="32"/>
        </w:rPr>
        <w:t>地方债务规模严格控制在规定限额之内。</w:t>
      </w:r>
    </w:p>
    <w:p>
      <w:pPr>
        <w:shd w:val="solid" w:color="FFFFFF" w:fill="auto"/>
        <w:autoSpaceDN w:val="0"/>
        <w:spacing w:line="330" w:lineRule="atLeast"/>
        <w:rPr>
          <w:rFonts w:hint="eastAsia" w:ascii="仿宋" w:hAnsi="仿宋" w:eastAsia="仿宋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shd w:val="clear" w:color="auto" w:fill="FFFFFF"/>
          <w:lang w:val="en-US" w:eastAsia="zh-CN"/>
        </w:rPr>
        <w:t xml:space="preserve">   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附表：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2019年孟州市一般公共预算收支情况表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eastAsia="zh-CN"/>
        </w:rPr>
        <w:t>附表一：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2019年孟州市一般公共预算收支情况总表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附表二：2019年孟州市一般公共预算收入情况表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附表三：2019年孟州市一般公共预算支出情况表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附表四：2019年孟州市一般公共预算支出明细表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附表五：2019年孟州市基本支出政府经济分类明细表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附表六：2019年孟州市一般公共预算收入返还和转移支 付情况表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附表七：2019年孟州市“三公”经费安排情况表</w:t>
      </w:r>
    </w:p>
    <w:p>
      <w:pPr>
        <w:spacing w:line="600" w:lineRule="exact"/>
        <w:ind w:firstLine="480" w:firstLineChars="150"/>
        <w:rPr>
          <w:rFonts w:hint="eastAsia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附表八：2019年孟州市一般债务限额和余额情况表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swiss"/>
    <w:pitch w:val="default"/>
    <w:sig w:usb0="E00002FF" w:usb1="6AC7FDFB" w:usb2="00000012" w:usb3="00000000" w:csb0="4002009F" w:csb1="DFD70000"/>
  </w:font>
  <w:font w:name="楷体_GB2312">
    <w:altName w:val="楷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43173"/>
    <w:rsid w:val="03245CC9"/>
    <w:rsid w:val="0E206200"/>
    <w:rsid w:val="124F7DA7"/>
    <w:rsid w:val="1BF7377F"/>
    <w:rsid w:val="1CA93B54"/>
    <w:rsid w:val="1EA3393E"/>
    <w:rsid w:val="1FDD7CEF"/>
    <w:rsid w:val="20256A90"/>
    <w:rsid w:val="25764191"/>
    <w:rsid w:val="27D20C09"/>
    <w:rsid w:val="28AD70E4"/>
    <w:rsid w:val="2B907346"/>
    <w:rsid w:val="2C4331E6"/>
    <w:rsid w:val="2DC57BC6"/>
    <w:rsid w:val="2EFA2DE8"/>
    <w:rsid w:val="30B21CEC"/>
    <w:rsid w:val="36C43173"/>
    <w:rsid w:val="37A852B1"/>
    <w:rsid w:val="3CEA0150"/>
    <w:rsid w:val="47C2595A"/>
    <w:rsid w:val="501739F6"/>
    <w:rsid w:val="5362780A"/>
    <w:rsid w:val="54D26144"/>
    <w:rsid w:val="58E660B7"/>
    <w:rsid w:val="59293748"/>
    <w:rsid w:val="5C8239C9"/>
    <w:rsid w:val="5E2C5EEC"/>
    <w:rsid w:val="641E0553"/>
    <w:rsid w:val="684D6B79"/>
    <w:rsid w:val="6DCA6C71"/>
    <w:rsid w:val="74172F92"/>
    <w:rsid w:val="772824F9"/>
    <w:rsid w:val="7C5C2B9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2018-10-14T13:02:00Z</dcterms:created>
  <dc:creator>User</dc:creator>
  <cp:lastModifiedBy>Administrator</cp:lastModifiedBy>
  <dcterms:modified xsi:type="dcterms:W3CDTF">2019-02-28T03:35:15Z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